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2928" w14:textId="77777777" w:rsidR="008962D4" w:rsidRPr="00837F38" w:rsidRDefault="00657ED0" w:rsidP="003F7F13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37F38">
        <w:rPr>
          <w:rFonts w:asciiTheme="minorHAnsi" w:hAnsiTheme="minorHAnsi" w:cstheme="minorHAnsi"/>
          <w:b/>
          <w:sz w:val="24"/>
          <w:szCs w:val="24"/>
        </w:rPr>
        <w:t>First Minister’s Advisory Group on Human Rights Leadership,</w:t>
      </w:r>
    </w:p>
    <w:p w14:paraId="7068A757" w14:textId="77777777" w:rsidR="00657ED0" w:rsidRPr="00837F38" w:rsidRDefault="00657ED0" w:rsidP="003F7F13">
      <w:pPr>
        <w:rPr>
          <w:rFonts w:asciiTheme="minorHAnsi" w:hAnsiTheme="minorHAnsi" w:cstheme="minorHAnsi"/>
          <w:b/>
          <w:sz w:val="24"/>
          <w:szCs w:val="24"/>
        </w:rPr>
      </w:pPr>
      <w:r w:rsidRPr="00837F38">
        <w:rPr>
          <w:rFonts w:asciiTheme="minorHAnsi" w:hAnsiTheme="minorHAnsi" w:cstheme="minorHAnsi"/>
          <w:b/>
          <w:sz w:val="24"/>
          <w:szCs w:val="24"/>
        </w:rPr>
        <w:t>Reference Group Meeting</w:t>
      </w:r>
    </w:p>
    <w:p w14:paraId="79E89D34" w14:textId="77777777" w:rsidR="008962D4" w:rsidRPr="00837F38" w:rsidRDefault="00E53626" w:rsidP="003F7F13">
      <w:pPr>
        <w:rPr>
          <w:rFonts w:asciiTheme="minorHAnsi" w:hAnsiTheme="minorHAnsi" w:cstheme="minorHAnsi"/>
          <w:sz w:val="24"/>
          <w:szCs w:val="24"/>
        </w:rPr>
      </w:pPr>
      <w:r w:rsidRPr="00837F38">
        <w:rPr>
          <w:rFonts w:asciiTheme="minorHAnsi" w:hAnsiTheme="minorHAnsi" w:cstheme="minorHAnsi"/>
          <w:sz w:val="24"/>
          <w:szCs w:val="24"/>
        </w:rPr>
        <w:t xml:space="preserve">Wednesday </w:t>
      </w:r>
      <w:r w:rsidR="00F86445" w:rsidRPr="00837F38">
        <w:rPr>
          <w:rFonts w:asciiTheme="minorHAnsi" w:hAnsiTheme="minorHAnsi" w:cstheme="minorHAnsi"/>
          <w:sz w:val="24"/>
          <w:szCs w:val="24"/>
        </w:rPr>
        <w:t>3</w:t>
      </w:r>
      <w:r w:rsidR="00F86445" w:rsidRPr="00837F38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F86445" w:rsidRPr="00837F38">
        <w:rPr>
          <w:rFonts w:asciiTheme="minorHAnsi" w:hAnsiTheme="minorHAnsi" w:cstheme="minorHAnsi"/>
          <w:sz w:val="24"/>
          <w:szCs w:val="24"/>
        </w:rPr>
        <w:t xml:space="preserve"> October</w:t>
      </w:r>
      <w:r w:rsidRPr="00837F38">
        <w:rPr>
          <w:rFonts w:asciiTheme="minorHAnsi" w:hAnsiTheme="minorHAnsi" w:cstheme="minorHAnsi"/>
          <w:sz w:val="24"/>
          <w:szCs w:val="24"/>
        </w:rPr>
        <w:t xml:space="preserve"> 2018 </w:t>
      </w:r>
    </w:p>
    <w:p w14:paraId="6BE3C39B" w14:textId="77777777" w:rsidR="003F7F13" w:rsidRPr="00837F38" w:rsidRDefault="00F86445" w:rsidP="008962D4">
      <w:pPr>
        <w:rPr>
          <w:rFonts w:asciiTheme="minorHAnsi" w:hAnsiTheme="minorHAnsi" w:cstheme="minorHAnsi"/>
          <w:sz w:val="24"/>
          <w:szCs w:val="24"/>
        </w:rPr>
      </w:pPr>
      <w:r w:rsidRPr="00837F38">
        <w:rPr>
          <w:rFonts w:asciiTheme="minorHAnsi" w:hAnsiTheme="minorHAnsi" w:cstheme="minorHAnsi"/>
          <w:sz w:val="24"/>
          <w:szCs w:val="24"/>
        </w:rPr>
        <w:t>The Melting Pot, Rose Street, Edinburgh</w:t>
      </w:r>
      <w:r w:rsidR="0029439B" w:rsidRPr="00837F38">
        <w:rPr>
          <w:rFonts w:asciiTheme="minorHAnsi" w:hAnsiTheme="minorHAnsi" w:cstheme="minorHAnsi"/>
          <w:sz w:val="24"/>
          <w:szCs w:val="24"/>
        </w:rPr>
        <w:t>.</w:t>
      </w:r>
      <w:r w:rsidRPr="00837F38">
        <w:rPr>
          <w:rFonts w:asciiTheme="minorHAnsi" w:hAnsiTheme="minorHAnsi" w:cstheme="minorHAnsi"/>
          <w:sz w:val="24"/>
          <w:szCs w:val="24"/>
        </w:rPr>
        <w:t xml:space="preserve"> 13:00 – 16:30</w:t>
      </w:r>
    </w:p>
    <w:p w14:paraId="1BD40AEB" w14:textId="77777777" w:rsidR="00657ED0" w:rsidRPr="00837F38" w:rsidRDefault="00657ED0" w:rsidP="008962D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4"/>
        <w:gridCol w:w="7043"/>
        <w:gridCol w:w="2051"/>
      </w:tblGrid>
      <w:tr w:rsidR="00767C66" w:rsidRPr="00837F38" w14:paraId="21649775" w14:textId="77777777" w:rsidTr="00E53626">
        <w:tc>
          <w:tcPr>
            <w:tcW w:w="554" w:type="dxa"/>
          </w:tcPr>
          <w:p w14:paraId="30B3ABB8" w14:textId="77777777" w:rsidR="00767C66" w:rsidRPr="00837F38" w:rsidRDefault="00767C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3" w:type="dxa"/>
          </w:tcPr>
          <w:p w14:paraId="77CF7D38" w14:textId="77777777" w:rsidR="00767C66" w:rsidRPr="00837F38" w:rsidRDefault="00767C66" w:rsidP="008962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1" w:type="dxa"/>
          </w:tcPr>
          <w:p w14:paraId="6E03C334" w14:textId="77777777" w:rsidR="00767C66" w:rsidRPr="00837F38" w:rsidRDefault="00767C66" w:rsidP="008962D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37F38">
              <w:rPr>
                <w:rFonts w:asciiTheme="minorHAnsi" w:hAnsiTheme="minorHAnsi" w:cstheme="minorHAnsi"/>
                <w:b/>
              </w:rPr>
              <w:t>Actions</w:t>
            </w:r>
          </w:p>
        </w:tc>
      </w:tr>
      <w:tr w:rsidR="00FC6AC5" w:rsidRPr="00837F38" w14:paraId="71338218" w14:textId="77777777" w:rsidTr="00E53626">
        <w:tc>
          <w:tcPr>
            <w:tcW w:w="554" w:type="dxa"/>
          </w:tcPr>
          <w:p w14:paraId="2B1316D5" w14:textId="77777777" w:rsidR="00FC6AC5" w:rsidRPr="00837F38" w:rsidRDefault="00FC6AC5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43" w:type="dxa"/>
          </w:tcPr>
          <w:p w14:paraId="165FAD1E" w14:textId="77777777" w:rsidR="00E537C4" w:rsidRPr="00837F38" w:rsidRDefault="00F86445" w:rsidP="00E5362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7F38">
              <w:rPr>
                <w:rFonts w:asciiTheme="minorHAnsi" w:hAnsiTheme="minorHAnsi" w:cstheme="minorHAnsi"/>
                <w:b/>
                <w:sz w:val="24"/>
              </w:rPr>
              <w:t>Welcome and updates.</w:t>
            </w:r>
          </w:p>
          <w:p w14:paraId="6F81132A" w14:textId="77777777" w:rsidR="00F86445" w:rsidRPr="00837F38" w:rsidRDefault="00F86445" w:rsidP="00B2251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The Chair welcomed all to the final </w:t>
            </w:r>
            <w:r w:rsidR="00B22517" w:rsidRPr="00837F38">
              <w:rPr>
                <w:rFonts w:asciiTheme="minorHAnsi" w:hAnsiTheme="minorHAnsi" w:cstheme="minorHAnsi"/>
              </w:rPr>
              <w:t>R</w:t>
            </w:r>
            <w:r w:rsidRPr="00837F38">
              <w:rPr>
                <w:rFonts w:asciiTheme="minorHAnsi" w:hAnsiTheme="minorHAnsi" w:cstheme="minorHAnsi"/>
              </w:rPr>
              <w:t xml:space="preserve">eference Group </w:t>
            </w:r>
            <w:r w:rsidR="00B22517" w:rsidRPr="00837F38">
              <w:rPr>
                <w:rFonts w:asciiTheme="minorHAnsi" w:hAnsiTheme="minorHAnsi" w:cstheme="minorHAnsi"/>
              </w:rPr>
              <w:t>meeting and thanked everyone for their continued support</w:t>
            </w:r>
            <w:r w:rsidR="00A4366B">
              <w:rPr>
                <w:rFonts w:asciiTheme="minorHAnsi" w:hAnsiTheme="minorHAnsi" w:cstheme="minorHAnsi"/>
              </w:rPr>
              <w:t xml:space="preserve"> in helping to shape the recommendations within the final report. </w:t>
            </w:r>
          </w:p>
          <w:p w14:paraId="45C92619" w14:textId="77777777" w:rsidR="00567409" w:rsidRPr="00837F38" w:rsidRDefault="00567409" w:rsidP="00B22517">
            <w:pPr>
              <w:rPr>
                <w:rFonts w:asciiTheme="minorHAnsi" w:hAnsiTheme="minorHAnsi" w:cstheme="minorHAnsi"/>
              </w:rPr>
            </w:pPr>
          </w:p>
          <w:p w14:paraId="50C76007" w14:textId="1AC2580A" w:rsidR="00B22517" w:rsidRPr="00837F38" w:rsidRDefault="00567409" w:rsidP="00B2251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Ahead of</w:t>
            </w:r>
            <w:r w:rsidR="00B14717" w:rsidRPr="00837F38">
              <w:rPr>
                <w:rFonts w:asciiTheme="minorHAnsi" w:hAnsiTheme="minorHAnsi" w:cstheme="minorHAnsi"/>
              </w:rPr>
              <w:t xml:space="preserve"> the</w:t>
            </w:r>
            <w:r w:rsidRPr="00837F38">
              <w:rPr>
                <w:rFonts w:asciiTheme="minorHAnsi" w:hAnsiTheme="minorHAnsi" w:cstheme="minorHAnsi"/>
              </w:rPr>
              <w:t xml:space="preserve"> </w:t>
            </w:r>
            <w:r w:rsidR="00823B01">
              <w:rPr>
                <w:rFonts w:asciiTheme="minorHAnsi" w:hAnsiTheme="minorHAnsi" w:cstheme="minorHAnsi"/>
              </w:rPr>
              <w:t>proceedings</w:t>
            </w:r>
            <w:r w:rsidRPr="00837F38">
              <w:rPr>
                <w:rFonts w:asciiTheme="minorHAnsi" w:hAnsiTheme="minorHAnsi" w:cstheme="minorHAnsi"/>
              </w:rPr>
              <w:t>, the Chair outlined the proposed Agenda</w:t>
            </w:r>
            <w:r w:rsidR="00823B01">
              <w:rPr>
                <w:rFonts w:asciiTheme="minorHAnsi" w:hAnsiTheme="minorHAnsi" w:cstheme="minorHAnsi"/>
              </w:rPr>
              <w:t xml:space="preserve">, </w:t>
            </w:r>
            <w:r w:rsidRPr="00837F38">
              <w:rPr>
                <w:rFonts w:asciiTheme="minorHAnsi" w:hAnsiTheme="minorHAnsi" w:cstheme="minorHAnsi"/>
              </w:rPr>
              <w:t>with particular focus being given to the presentation of the potential key recommendations to be included within the report</w:t>
            </w:r>
            <w:r w:rsidR="00A4366B">
              <w:rPr>
                <w:rFonts w:asciiTheme="minorHAnsi" w:hAnsiTheme="minorHAnsi" w:cstheme="minorHAnsi"/>
              </w:rPr>
              <w:t xml:space="preserve">.  This would be </w:t>
            </w:r>
            <w:r w:rsidR="00F44AC4" w:rsidRPr="00837F38">
              <w:rPr>
                <w:rFonts w:asciiTheme="minorHAnsi" w:hAnsiTheme="minorHAnsi" w:cstheme="minorHAnsi"/>
              </w:rPr>
              <w:t>followed by group discussions on the k</w:t>
            </w:r>
            <w:r w:rsidR="00823B01">
              <w:rPr>
                <w:rFonts w:asciiTheme="minorHAnsi" w:hAnsiTheme="minorHAnsi" w:cstheme="minorHAnsi"/>
              </w:rPr>
              <w:t>ey recommendations and the crucial role</w:t>
            </w:r>
            <w:r w:rsidR="00A4366B">
              <w:rPr>
                <w:rFonts w:asciiTheme="minorHAnsi" w:hAnsiTheme="minorHAnsi" w:cstheme="minorHAnsi"/>
              </w:rPr>
              <w:t xml:space="preserve"> </w:t>
            </w:r>
            <w:r w:rsidR="00F44AC4" w:rsidRPr="00837F38">
              <w:rPr>
                <w:rFonts w:asciiTheme="minorHAnsi" w:hAnsiTheme="minorHAnsi" w:cstheme="minorHAnsi"/>
              </w:rPr>
              <w:t>civil society</w:t>
            </w:r>
            <w:r w:rsidR="00823B01">
              <w:rPr>
                <w:rFonts w:asciiTheme="minorHAnsi" w:hAnsiTheme="minorHAnsi" w:cstheme="minorHAnsi"/>
              </w:rPr>
              <w:t xml:space="preserve"> would play in implementing these proposed recommendations</w:t>
            </w:r>
            <w:r w:rsidR="00F44AC4" w:rsidRPr="00837F38">
              <w:rPr>
                <w:rFonts w:asciiTheme="minorHAnsi" w:hAnsiTheme="minorHAnsi" w:cstheme="minorHAnsi"/>
              </w:rPr>
              <w:t xml:space="preserve">. </w:t>
            </w:r>
            <w:r w:rsidRPr="00837F38">
              <w:rPr>
                <w:rFonts w:asciiTheme="minorHAnsi" w:hAnsiTheme="minorHAnsi" w:cstheme="minorHAnsi"/>
              </w:rPr>
              <w:t xml:space="preserve"> </w:t>
            </w:r>
          </w:p>
          <w:p w14:paraId="0BBBC94F" w14:textId="77777777" w:rsidR="00567409" w:rsidRPr="00837F38" w:rsidRDefault="00567409" w:rsidP="00B22517">
            <w:pPr>
              <w:rPr>
                <w:rFonts w:asciiTheme="minorHAnsi" w:hAnsiTheme="minorHAnsi" w:cstheme="minorHAnsi"/>
              </w:rPr>
            </w:pPr>
          </w:p>
          <w:p w14:paraId="3E268A3B" w14:textId="65FF8444" w:rsidR="00B22517" w:rsidRPr="00837F38" w:rsidRDefault="00B22517" w:rsidP="00B2251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The </w:t>
            </w:r>
            <w:r w:rsidR="00A4366B">
              <w:rPr>
                <w:rFonts w:asciiTheme="minorHAnsi" w:hAnsiTheme="minorHAnsi" w:cstheme="minorHAnsi"/>
              </w:rPr>
              <w:t>Chair updated the Reference G</w:t>
            </w:r>
            <w:r w:rsidR="00F44AC4" w:rsidRPr="00837F38">
              <w:rPr>
                <w:rFonts w:asciiTheme="minorHAnsi" w:hAnsiTheme="minorHAnsi" w:cstheme="minorHAnsi"/>
              </w:rPr>
              <w:t xml:space="preserve">roup by advising that the </w:t>
            </w:r>
            <w:r w:rsidRPr="00837F38">
              <w:rPr>
                <w:rFonts w:asciiTheme="minorHAnsi" w:hAnsiTheme="minorHAnsi" w:cstheme="minorHAnsi"/>
              </w:rPr>
              <w:t>Advisory Group members had recently met on the 27</w:t>
            </w:r>
            <w:r w:rsidRPr="00837F3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37F38">
              <w:rPr>
                <w:rFonts w:asciiTheme="minorHAnsi" w:hAnsiTheme="minorHAnsi" w:cstheme="minorHAnsi"/>
              </w:rPr>
              <w:t xml:space="preserve"> and 28</w:t>
            </w:r>
            <w:r w:rsidRPr="00837F3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37F38">
              <w:rPr>
                <w:rFonts w:asciiTheme="minorHAnsi" w:hAnsiTheme="minorHAnsi" w:cstheme="minorHAnsi"/>
              </w:rPr>
              <w:t xml:space="preserve"> September </w:t>
            </w:r>
            <w:r w:rsidR="00A4366B">
              <w:rPr>
                <w:rFonts w:asciiTheme="minorHAnsi" w:hAnsiTheme="minorHAnsi" w:cstheme="minorHAnsi"/>
              </w:rPr>
              <w:t xml:space="preserve">2018 </w:t>
            </w:r>
            <w:r w:rsidRPr="00837F38">
              <w:rPr>
                <w:rFonts w:asciiTheme="minorHAnsi" w:hAnsiTheme="minorHAnsi" w:cstheme="minorHAnsi"/>
              </w:rPr>
              <w:t xml:space="preserve">to discuss the proposed structure and wording </w:t>
            </w:r>
            <w:r w:rsidR="00F44AC4" w:rsidRPr="00837F38">
              <w:rPr>
                <w:rFonts w:asciiTheme="minorHAnsi" w:hAnsiTheme="minorHAnsi" w:cstheme="minorHAnsi"/>
              </w:rPr>
              <w:t xml:space="preserve">of the final report.  </w:t>
            </w:r>
          </w:p>
          <w:p w14:paraId="6791CB8E" w14:textId="77777777" w:rsidR="00B22517" w:rsidRPr="00837F38" w:rsidRDefault="00B22517" w:rsidP="00B22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14:paraId="5F3AE36C" w14:textId="77777777" w:rsidR="00FC6AC5" w:rsidRPr="00837F38" w:rsidRDefault="00FC6AC5" w:rsidP="008962D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C6AC5" w:rsidRPr="00837F38" w14:paraId="2593D5FD" w14:textId="77777777" w:rsidTr="00E53626">
        <w:trPr>
          <w:trHeight w:val="1248"/>
        </w:trPr>
        <w:tc>
          <w:tcPr>
            <w:tcW w:w="554" w:type="dxa"/>
          </w:tcPr>
          <w:p w14:paraId="6012C715" w14:textId="77777777" w:rsidR="00FC6AC5" w:rsidRPr="00837F38" w:rsidRDefault="00FC6AC5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43" w:type="dxa"/>
          </w:tcPr>
          <w:p w14:paraId="4B6C4DEA" w14:textId="77777777" w:rsidR="00752BD2" w:rsidRPr="00837F38" w:rsidRDefault="00C911B8" w:rsidP="005F297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  <w:b/>
                <w:sz w:val="24"/>
              </w:rPr>
              <w:t>Presentation of potential Key Recommendations</w:t>
            </w:r>
            <w:r w:rsidR="00752BD2" w:rsidRPr="00837F38">
              <w:rPr>
                <w:rFonts w:asciiTheme="minorHAnsi" w:hAnsiTheme="minorHAnsi" w:cstheme="minorHAnsi"/>
                <w:b/>
                <w:sz w:val="24"/>
              </w:rPr>
              <w:t xml:space="preserve">. </w:t>
            </w:r>
          </w:p>
          <w:p w14:paraId="14F5E952" w14:textId="1682073D" w:rsidR="00752BD2" w:rsidRPr="00837F38" w:rsidRDefault="00752BD2" w:rsidP="005F297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Aided by a PowerPoint presentation,</w:t>
            </w:r>
            <w:r w:rsidR="00837F38">
              <w:rPr>
                <w:rFonts w:asciiTheme="minorHAnsi" w:hAnsiTheme="minorHAnsi" w:cstheme="minorHAnsi"/>
              </w:rPr>
              <w:t xml:space="preserve"> the Chair noted that the Advisory Group</w:t>
            </w:r>
            <w:r w:rsidRPr="00837F38">
              <w:rPr>
                <w:rFonts w:asciiTheme="minorHAnsi" w:hAnsiTheme="minorHAnsi" w:cstheme="minorHAnsi"/>
              </w:rPr>
              <w:t xml:space="preserve"> would be</w:t>
            </w:r>
            <w:r w:rsidR="00837F38">
              <w:rPr>
                <w:rFonts w:asciiTheme="minorHAnsi" w:hAnsiTheme="minorHAnsi" w:cstheme="minorHAnsi"/>
              </w:rPr>
              <w:t xml:space="preserve"> considering</w:t>
            </w:r>
            <w:r w:rsidRPr="00837F38">
              <w:rPr>
                <w:rFonts w:asciiTheme="minorHAnsi" w:hAnsiTheme="minorHAnsi" w:cstheme="minorHAnsi"/>
              </w:rPr>
              <w:t xml:space="preserve"> 7 possible key recommendations that would be incorporated within the </w:t>
            </w:r>
            <w:r w:rsidR="00837F38">
              <w:rPr>
                <w:rFonts w:asciiTheme="minorHAnsi" w:hAnsiTheme="minorHAnsi" w:cstheme="minorHAnsi"/>
              </w:rPr>
              <w:t xml:space="preserve">final </w:t>
            </w:r>
            <w:r w:rsidRPr="00837F38">
              <w:rPr>
                <w:rFonts w:asciiTheme="minorHAnsi" w:hAnsiTheme="minorHAnsi" w:cstheme="minorHAnsi"/>
              </w:rPr>
              <w:t xml:space="preserve">report. </w:t>
            </w:r>
            <w:r w:rsidR="00F65531" w:rsidRPr="00837F38">
              <w:rPr>
                <w:rFonts w:asciiTheme="minorHAnsi" w:hAnsiTheme="minorHAnsi" w:cstheme="minorHAnsi"/>
              </w:rPr>
              <w:t xml:space="preserve">Using the slides as a backdrop, each </w:t>
            </w:r>
            <w:r w:rsidR="00837F38">
              <w:rPr>
                <w:rFonts w:asciiTheme="minorHAnsi" w:hAnsiTheme="minorHAnsi" w:cstheme="minorHAnsi"/>
              </w:rPr>
              <w:t>central</w:t>
            </w:r>
            <w:r w:rsidR="00F65531" w:rsidRPr="00837F38">
              <w:rPr>
                <w:rFonts w:asciiTheme="minorHAnsi" w:hAnsiTheme="minorHAnsi" w:cstheme="minorHAnsi"/>
              </w:rPr>
              <w:t xml:space="preserve"> feature within the </w:t>
            </w:r>
            <w:r w:rsidR="00837F38">
              <w:rPr>
                <w:rFonts w:asciiTheme="minorHAnsi" w:hAnsiTheme="minorHAnsi" w:cstheme="minorHAnsi"/>
              </w:rPr>
              <w:t>recommendation were</w:t>
            </w:r>
            <w:r w:rsidR="00F65531" w:rsidRPr="00837F38">
              <w:rPr>
                <w:rFonts w:asciiTheme="minorHAnsi" w:hAnsiTheme="minorHAnsi" w:cstheme="minorHAnsi"/>
              </w:rPr>
              <w:t xml:space="preserve"> explained</w:t>
            </w:r>
            <w:r w:rsidR="00837F38">
              <w:rPr>
                <w:rFonts w:asciiTheme="minorHAnsi" w:hAnsiTheme="minorHAnsi" w:cstheme="minorHAnsi"/>
              </w:rPr>
              <w:t xml:space="preserve"> in detail</w:t>
            </w:r>
            <w:r w:rsidR="00F65531" w:rsidRPr="00837F38">
              <w:rPr>
                <w:rFonts w:asciiTheme="minorHAnsi" w:hAnsiTheme="minorHAnsi" w:cstheme="minorHAnsi"/>
              </w:rPr>
              <w:t xml:space="preserve"> by the Chair. The 7 key recommendations</w:t>
            </w:r>
            <w:r w:rsidRPr="00837F38">
              <w:rPr>
                <w:rFonts w:asciiTheme="minorHAnsi" w:hAnsiTheme="minorHAnsi" w:cstheme="minorHAnsi"/>
              </w:rPr>
              <w:t xml:space="preserve"> </w:t>
            </w:r>
            <w:r w:rsidR="00837F38">
              <w:rPr>
                <w:rFonts w:asciiTheme="minorHAnsi" w:hAnsiTheme="minorHAnsi" w:cstheme="minorHAnsi"/>
              </w:rPr>
              <w:t xml:space="preserve">for consideration </w:t>
            </w:r>
            <w:r w:rsidRPr="00837F38">
              <w:rPr>
                <w:rFonts w:asciiTheme="minorHAnsi" w:hAnsiTheme="minorHAnsi" w:cstheme="minorHAnsi"/>
              </w:rPr>
              <w:t xml:space="preserve">were as follows:- </w:t>
            </w:r>
          </w:p>
          <w:p w14:paraId="3904A410" w14:textId="77777777" w:rsidR="00752BD2" w:rsidRPr="00837F38" w:rsidRDefault="00752BD2" w:rsidP="005F2977">
            <w:pPr>
              <w:rPr>
                <w:rFonts w:asciiTheme="minorHAnsi" w:hAnsiTheme="minorHAnsi" w:cstheme="minorHAnsi"/>
              </w:rPr>
            </w:pPr>
          </w:p>
          <w:p w14:paraId="0216D946" w14:textId="77777777" w:rsidR="00752BD2" w:rsidRPr="00837F38" w:rsidRDefault="00752BD2" w:rsidP="00752BD2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837F38">
              <w:rPr>
                <w:rFonts w:cstheme="minorHAnsi"/>
              </w:rPr>
              <w:t>An Act of the Scottish Parliament to provide leadership and a new framework of human rights to improve people’s lives.</w:t>
            </w:r>
          </w:p>
          <w:p w14:paraId="419A15A4" w14:textId="77777777" w:rsidR="00752BD2" w:rsidRPr="00837F38" w:rsidRDefault="00752BD2" w:rsidP="00752BD2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837F38">
              <w:rPr>
                <w:rFonts w:cstheme="minorHAnsi"/>
              </w:rPr>
              <w:t>A public participatory process as part of preparation of the Act</w:t>
            </w:r>
          </w:p>
          <w:p w14:paraId="4F3D0BCC" w14:textId="77777777" w:rsidR="00752BD2" w:rsidRPr="00837F38" w:rsidRDefault="00752BD2" w:rsidP="00752BD2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837F38">
              <w:rPr>
                <w:rFonts w:cstheme="minorHAnsi"/>
              </w:rPr>
              <w:t>A participatory process of capacity-building to enable effective implementation of the Act</w:t>
            </w:r>
          </w:p>
          <w:p w14:paraId="73FA6C12" w14:textId="77777777" w:rsidR="00752BD2" w:rsidRPr="00837F38" w:rsidRDefault="00752BD2" w:rsidP="00752BD2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837F38">
              <w:rPr>
                <w:rFonts w:cstheme="minorHAnsi"/>
              </w:rPr>
              <w:t>A National (Scottish Government) Mechanism for Monitoring, Reporting and Implementation</w:t>
            </w:r>
          </w:p>
          <w:p w14:paraId="6910DC02" w14:textId="77777777" w:rsidR="00752BD2" w:rsidRPr="00837F38" w:rsidRDefault="00752BD2" w:rsidP="00752BD2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837F38">
              <w:rPr>
                <w:rFonts w:cstheme="minorHAnsi"/>
              </w:rPr>
              <w:t>Development of human rights-based indicators for Scotland’s National Performance Framework</w:t>
            </w:r>
          </w:p>
          <w:p w14:paraId="46D5211A" w14:textId="77777777" w:rsidR="00752BD2" w:rsidRPr="00837F38" w:rsidRDefault="00752BD2" w:rsidP="00752BD2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837F38">
              <w:rPr>
                <w:rFonts w:cstheme="minorHAnsi"/>
              </w:rPr>
              <w:t>A National Task Force, as part of Scotland’s National Action Plan for Human Rights, to take forward recommendations</w:t>
            </w:r>
          </w:p>
          <w:p w14:paraId="7963BD41" w14:textId="77777777" w:rsidR="00752BD2" w:rsidRPr="00837F38" w:rsidRDefault="00752BD2" w:rsidP="00752BD2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</w:rPr>
            </w:pPr>
            <w:r w:rsidRPr="00837F38">
              <w:rPr>
                <w:rFonts w:cstheme="minorHAnsi"/>
              </w:rPr>
              <w:t xml:space="preserve">A Bill of Rights, as part of a written constitution, were Scotland to become independent. </w:t>
            </w:r>
          </w:p>
          <w:p w14:paraId="02606C84" w14:textId="77777777" w:rsidR="00752BD2" w:rsidRDefault="00F65531" w:rsidP="00F65531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Reference Group members were invited to take part in a question and answer session following the presentation. </w:t>
            </w:r>
          </w:p>
          <w:p w14:paraId="482FA7D8" w14:textId="77777777" w:rsidR="00823B01" w:rsidRPr="00837F38" w:rsidRDefault="00823B01" w:rsidP="00F655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14:paraId="6746E388" w14:textId="77777777" w:rsidR="00603247" w:rsidRPr="00837F38" w:rsidRDefault="00603247" w:rsidP="008962D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4008F" w:rsidRPr="00837F38" w14:paraId="0EF03CF2" w14:textId="77777777" w:rsidTr="00E53626">
        <w:tc>
          <w:tcPr>
            <w:tcW w:w="554" w:type="dxa"/>
          </w:tcPr>
          <w:p w14:paraId="33850EDF" w14:textId="77777777" w:rsidR="0024008F" w:rsidRPr="00837F38" w:rsidRDefault="0099577E" w:rsidP="0099577E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043" w:type="dxa"/>
          </w:tcPr>
          <w:p w14:paraId="12985130" w14:textId="77777777" w:rsidR="0031181D" w:rsidRPr="00837F38" w:rsidRDefault="00F65531" w:rsidP="0031181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7F38">
              <w:rPr>
                <w:rFonts w:asciiTheme="minorHAnsi" w:hAnsiTheme="minorHAnsi" w:cstheme="minorHAnsi"/>
                <w:b/>
                <w:sz w:val="24"/>
              </w:rPr>
              <w:t>Group dis</w:t>
            </w:r>
            <w:r w:rsidR="00B14717" w:rsidRPr="00837F38">
              <w:rPr>
                <w:rFonts w:asciiTheme="minorHAnsi" w:hAnsiTheme="minorHAnsi" w:cstheme="minorHAnsi"/>
                <w:b/>
                <w:sz w:val="24"/>
              </w:rPr>
              <w:t>cussions on key recommendations.</w:t>
            </w:r>
          </w:p>
          <w:p w14:paraId="786F5F8C" w14:textId="6DA0A1FB" w:rsidR="00061DE7" w:rsidRPr="00837F38" w:rsidRDefault="00F65531" w:rsidP="00061DE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Mhairi Snowden (Human Rights Consortium Scotland)</w:t>
            </w:r>
            <w:r w:rsidR="00061DE7" w:rsidRPr="00837F38">
              <w:rPr>
                <w:rFonts w:asciiTheme="minorHAnsi" w:hAnsiTheme="minorHAnsi" w:cstheme="minorHAnsi"/>
              </w:rPr>
              <w:t xml:space="preserve"> </w:t>
            </w:r>
            <w:r w:rsidRPr="00837F38">
              <w:rPr>
                <w:rFonts w:asciiTheme="minorHAnsi" w:hAnsiTheme="minorHAnsi" w:cstheme="minorHAnsi"/>
              </w:rPr>
              <w:t>facil</w:t>
            </w:r>
            <w:r w:rsidR="00061DE7" w:rsidRPr="00837F38">
              <w:rPr>
                <w:rFonts w:asciiTheme="minorHAnsi" w:hAnsiTheme="minorHAnsi" w:cstheme="minorHAnsi"/>
              </w:rPr>
              <w:t>itated group discussion work</w:t>
            </w:r>
            <w:r w:rsidR="00837F38" w:rsidRPr="00837F38">
              <w:rPr>
                <w:rFonts w:asciiTheme="minorHAnsi" w:hAnsiTheme="minorHAnsi" w:cstheme="minorHAnsi"/>
              </w:rPr>
              <w:t>, b</w:t>
            </w:r>
            <w:r w:rsidR="00061DE7" w:rsidRPr="00837F38">
              <w:rPr>
                <w:rFonts w:asciiTheme="minorHAnsi" w:hAnsiTheme="minorHAnsi" w:cstheme="minorHAnsi"/>
              </w:rPr>
              <w:t>ased on the 7 key recommendations</w:t>
            </w:r>
            <w:r w:rsidR="00837F38" w:rsidRPr="00837F38">
              <w:rPr>
                <w:rFonts w:asciiTheme="minorHAnsi" w:hAnsiTheme="minorHAnsi" w:cstheme="minorHAnsi"/>
              </w:rPr>
              <w:t>. E</w:t>
            </w:r>
            <w:r w:rsidR="00061DE7" w:rsidRPr="00837F38">
              <w:rPr>
                <w:rFonts w:asciiTheme="minorHAnsi" w:hAnsiTheme="minorHAnsi" w:cstheme="minorHAnsi"/>
              </w:rPr>
              <w:t>ach group w</w:t>
            </w:r>
            <w:r w:rsidR="00400506">
              <w:rPr>
                <w:rFonts w:asciiTheme="minorHAnsi" w:hAnsiTheme="minorHAnsi" w:cstheme="minorHAnsi"/>
              </w:rPr>
              <w:t>as</w:t>
            </w:r>
            <w:r w:rsidR="00061DE7" w:rsidRPr="00837F38">
              <w:rPr>
                <w:rFonts w:asciiTheme="minorHAnsi" w:hAnsiTheme="minorHAnsi" w:cstheme="minorHAnsi"/>
              </w:rPr>
              <w:t xml:space="preserve"> asked to Imagine that it is 2028 and that the rights act has been passed in the Scottish </w:t>
            </w:r>
            <w:r w:rsidR="00400506">
              <w:rPr>
                <w:rFonts w:asciiTheme="minorHAnsi" w:hAnsiTheme="minorHAnsi" w:cstheme="minorHAnsi"/>
              </w:rPr>
              <w:t>P</w:t>
            </w:r>
            <w:r w:rsidR="00061DE7" w:rsidRPr="00837F38">
              <w:rPr>
                <w:rFonts w:asciiTheme="minorHAnsi" w:hAnsiTheme="minorHAnsi" w:cstheme="minorHAnsi"/>
              </w:rPr>
              <w:t xml:space="preserve">arliament,  the sunrise clause has risen, and the acts </w:t>
            </w:r>
            <w:r w:rsidR="00061DE7" w:rsidRPr="00837F38">
              <w:rPr>
                <w:rFonts w:asciiTheme="minorHAnsi" w:hAnsiTheme="minorHAnsi" w:cstheme="minorHAnsi"/>
              </w:rPr>
              <w:lastRenderedPageBreak/>
              <w:t>implementation is hailed as a success by human rights defenders across civil society.</w:t>
            </w:r>
          </w:p>
          <w:p w14:paraId="63B17824" w14:textId="77777777" w:rsidR="00061DE7" w:rsidRPr="00837F38" w:rsidRDefault="00061DE7" w:rsidP="00061DE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What (realistically in 10 years) does this success look like? What does ‘good’ look like?</w:t>
            </w:r>
          </w:p>
          <w:p w14:paraId="2A5AE7B4" w14:textId="467300D6" w:rsidR="00061DE7" w:rsidRPr="00837F38" w:rsidRDefault="00061DE7" w:rsidP="00061DE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Looking back, what were the biggest concerns about the </w:t>
            </w:r>
            <w:r w:rsidR="00400506">
              <w:rPr>
                <w:rFonts w:asciiTheme="minorHAnsi" w:hAnsiTheme="minorHAnsi" w:cstheme="minorHAnsi"/>
              </w:rPr>
              <w:t>A</w:t>
            </w:r>
            <w:r w:rsidRPr="00837F38">
              <w:rPr>
                <w:rFonts w:asciiTheme="minorHAnsi" w:hAnsiTheme="minorHAnsi" w:cstheme="minorHAnsi"/>
              </w:rPr>
              <w:t>ct and its implementation from civil society, politicians and others?</w:t>
            </w:r>
          </w:p>
          <w:p w14:paraId="7C77AA12" w14:textId="77014CF6" w:rsidR="00061DE7" w:rsidRPr="00837F38" w:rsidRDefault="00061DE7" w:rsidP="00061DE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What did these organisations do that was crucial in the lead up to the Act and its implementation</w:t>
            </w:r>
            <w:r w:rsidR="00400506">
              <w:rPr>
                <w:rFonts w:asciiTheme="minorHAnsi" w:hAnsiTheme="minorHAnsi" w:cstheme="minorHAnsi"/>
              </w:rPr>
              <w:t>?</w:t>
            </w:r>
            <w:r w:rsidRPr="00837F38">
              <w:rPr>
                <w:rFonts w:asciiTheme="minorHAnsi" w:hAnsiTheme="minorHAnsi" w:cstheme="minorHAnsi"/>
              </w:rPr>
              <w:t xml:space="preserve"> </w:t>
            </w:r>
          </w:p>
          <w:p w14:paraId="15C471E6" w14:textId="77777777" w:rsidR="00061DE7" w:rsidRPr="00837F38" w:rsidRDefault="00061DE7" w:rsidP="00061DE7">
            <w:pPr>
              <w:numPr>
                <w:ilvl w:val="1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Scottish Government </w:t>
            </w:r>
          </w:p>
          <w:p w14:paraId="2C5233B0" w14:textId="77777777" w:rsidR="00061DE7" w:rsidRPr="00837F38" w:rsidRDefault="00061DE7" w:rsidP="00061DE7">
            <w:pPr>
              <w:numPr>
                <w:ilvl w:val="1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Local Authorities </w:t>
            </w:r>
          </w:p>
          <w:p w14:paraId="6895A414" w14:textId="77777777" w:rsidR="00061DE7" w:rsidRPr="00837F38" w:rsidRDefault="00061DE7" w:rsidP="00061DE7">
            <w:pPr>
              <w:numPr>
                <w:ilvl w:val="1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Inspection Bodies</w:t>
            </w:r>
          </w:p>
          <w:p w14:paraId="4FC4757F" w14:textId="77777777" w:rsidR="00061DE7" w:rsidRPr="00837F38" w:rsidRDefault="00061DE7" w:rsidP="00061DE7">
            <w:pPr>
              <w:numPr>
                <w:ilvl w:val="1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SHRC</w:t>
            </w:r>
          </w:p>
          <w:p w14:paraId="3EDC67FF" w14:textId="77777777" w:rsidR="00061DE7" w:rsidRPr="00837F38" w:rsidRDefault="00061DE7" w:rsidP="00061DE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What other law, policy or practical changes were important in enabling the incorporation of UN rights to make human rights real in people’s lives?</w:t>
            </w:r>
          </w:p>
          <w:p w14:paraId="288E79D4" w14:textId="77777777" w:rsidR="00061DE7" w:rsidRDefault="00061DE7" w:rsidP="00061DE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Bonus question – What should be the key characteristics &amp; ways of working, of the proposed National (Scottish Government) mechanism for monitoring, reporting and implementation. </w:t>
            </w:r>
          </w:p>
          <w:p w14:paraId="7CE48BD5" w14:textId="77777777" w:rsidR="00837F38" w:rsidRPr="00837F38" w:rsidRDefault="00837F38" w:rsidP="00837F38">
            <w:pPr>
              <w:ind w:left="720"/>
              <w:rPr>
                <w:rFonts w:asciiTheme="minorHAnsi" w:hAnsiTheme="minorHAnsi" w:cstheme="minorHAnsi"/>
              </w:rPr>
            </w:pPr>
          </w:p>
          <w:p w14:paraId="66D57811" w14:textId="44F3E5E3" w:rsidR="00061DE7" w:rsidRDefault="00061DE7" w:rsidP="00061DE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Reference Group members were then asked to consider the following questions</w:t>
            </w:r>
            <w:r w:rsidR="0093089C">
              <w:rPr>
                <w:rFonts w:asciiTheme="minorHAnsi" w:hAnsiTheme="minorHAnsi" w:cstheme="minorHAnsi"/>
              </w:rPr>
              <w:t xml:space="preserve"> and discuss what further action would be required to implement the recommendations</w:t>
            </w:r>
            <w:r w:rsidRPr="00837F38">
              <w:rPr>
                <w:rFonts w:asciiTheme="minorHAnsi" w:hAnsiTheme="minorHAnsi" w:cstheme="minorHAnsi"/>
              </w:rPr>
              <w:t xml:space="preserve">:- </w:t>
            </w:r>
          </w:p>
          <w:p w14:paraId="266C1099" w14:textId="77777777" w:rsidR="00061DE7" w:rsidRPr="00837F38" w:rsidRDefault="00061DE7" w:rsidP="00061DE7">
            <w:p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Discussion B</w:t>
            </w:r>
          </w:p>
          <w:p w14:paraId="1AC5910E" w14:textId="7E89162B" w:rsidR="00061DE7" w:rsidRPr="00837F38" w:rsidRDefault="00061DE7" w:rsidP="00061DE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Given all that has been discussed, what actions can civil society take to ensure that incorporation of </w:t>
            </w:r>
            <w:r w:rsidR="00400506">
              <w:rPr>
                <w:rFonts w:asciiTheme="minorHAnsi" w:hAnsiTheme="minorHAnsi" w:cstheme="minorHAnsi"/>
              </w:rPr>
              <w:t>UN</w:t>
            </w:r>
            <w:r w:rsidRPr="00837F38">
              <w:rPr>
                <w:rFonts w:asciiTheme="minorHAnsi" w:hAnsiTheme="minorHAnsi" w:cstheme="minorHAnsi"/>
              </w:rPr>
              <w:t xml:space="preserve"> rights is a success? – Research evidence? Collaborations? Information? Events? Participation networks? Contacts? Others?</w:t>
            </w:r>
          </w:p>
          <w:p w14:paraId="285A86E7" w14:textId="4CA0A64C" w:rsidR="00061DE7" w:rsidRPr="00837F38" w:rsidRDefault="00061DE7" w:rsidP="00061DE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 xml:space="preserve">In your area of work, are there particular developments coming up in the next 2 years that this could link to or the proposed </w:t>
            </w:r>
            <w:r w:rsidR="00400506">
              <w:rPr>
                <w:rFonts w:asciiTheme="minorHAnsi" w:hAnsiTheme="minorHAnsi" w:cstheme="minorHAnsi"/>
              </w:rPr>
              <w:t>T</w:t>
            </w:r>
            <w:r w:rsidRPr="00837F38">
              <w:rPr>
                <w:rFonts w:asciiTheme="minorHAnsi" w:hAnsiTheme="minorHAnsi" w:cstheme="minorHAnsi"/>
              </w:rPr>
              <w:t>ask</w:t>
            </w:r>
            <w:r w:rsidR="00400506">
              <w:rPr>
                <w:rFonts w:asciiTheme="minorHAnsi" w:hAnsiTheme="minorHAnsi" w:cstheme="minorHAnsi"/>
              </w:rPr>
              <w:t xml:space="preserve"> F</w:t>
            </w:r>
            <w:r w:rsidRPr="00837F38">
              <w:rPr>
                <w:rFonts w:asciiTheme="minorHAnsi" w:hAnsiTheme="minorHAnsi" w:cstheme="minorHAnsi"/>
              </w:rPr>
              <w:t>orce would need to be aware of?</w:t>
            </w:r>
          </w:p>
          <w:p w14:paraId="33F603F7" w14:textId="77777777" w:rsidR="00837F38" w:rsidRPr="00837F38" w:rsidRDefault="00061DE7" w:rsidP="00837F38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837F38">
              <w:rPr>
                <w:rFonts w:asciiTheme="minorHAnsi" w:hAnsiTheme="minorHAnsi" w:cstheme="minorHAnsi"/>
              </w:rPr>
              <w:t>Bonus question – What actions might your organisation or a network you are involved in, consider or be part of?</w:t>
            </w:r>
          </w:p>
          <w:p w14:paraId="0002EF7B" w14:textId="77777777" w:rsidR="00061DE7" w:rsidRPr="00837F38" w:rsidRDefault="00061DE7" w:rsidP="003118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1" w:type="dxa"/>
          </w:tcPr>
          <w:p w14:paraId="0BA9DF82" w14:textId="77777777" w:rsidR="00F119FD" w:rsidRPr="00837F38" w:rsidRDefault="00F119FD" w:rsidP="000B6D5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15ED280" w14:textId="77777777" w:rsidR="004F78A8" w:rsidRPr="00837F38" w:rsidRDefault="004F78A8" w:rsidP="000973F1">
      <w:pPr>
        <w:rPr>
          <w:rFonts w:asciiTheme="minorHAnsi" w:hAnsiTheme="minorHAnsi" w:cstheme="minorHAnsi"/>
        </w:rPr>
      </w:pPr>
    </w:p>
    <w:sectPr w:rsidR="004F78A8" w:rsidRPr="00837F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29FAD" w14:textId="77777777" w:rsidR="00F25B41" w:rsidRDefault="00F25B41" w:rsidP="00860F95">
      <w:r>
        <w:separator/>
      </w:r>
    </w:p>
  </w:endnote>
  <w:endnote w:type="continuationSeparator" w:id="0">
    <w:p w14:paraId="59D80A36" w14:textId="77777777" w:rsidR="00F25B41" w:rsidRDefault="00F25B41" w:rsidP="0086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58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A6546" w14:textId="7C03683B" w:rsidR="006C07D9" w:rsidRDefault="006C07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BFCCE" w14:textId="77777777" w:rsidR="006C07D9" w:rsidRDefault="006C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36EB" w14:textId="77777777" w:rsidR="00F25B41" w:rsidRDefault="00F25B41" w:rsidP="00860F95">
      <w:r>
        <w:separator/>
      </w:r>
    </w:p>
  </w:footnote>
  <w:footnote w:type="continuationSeparator" w:id="0">
    <w:p w14:paraId="2C4B0A34" w14:textId="77777777" w:rsidR="00F25B41" w:rsidRDefault="00F25B41" w:rsidP="0086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6B23" w14:textId="6473A982" w:rsidR="00860F95" w:rsidRDefault="00860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4CD"/>
    <w:multiLevelType w:val="hybridMultilevel"/>
    <w:tmpl w:val="8218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52E"/>
    <w:multiLevelType w:val="hybridMultilevel"/>
    <w:tmpl w:val="0CA2F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D09"/>
    <w:multiLevelType w:val="hybridMultilevel"/>
    <w:tmpl w:val="08E2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6735"/>
    <w:multiLevelType w:val="hybridMultilevel"/>
    <w:tmpl w:val="39A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A14"/>
    <w:multiLevelType w:val="hybridMultilevel"/>
    <w:tmpl w:val="3F9A6EE8"/>
    <w:lvl w:ilvl="0" w:tplc="4FA2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4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E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A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2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0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A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873B3"/>
    <w:multiLevelType w:val="hybridMultilevel"/>
    <w:tmpl w:val="37784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C522F"/>
    <w:multiLevelType w:val="hybridMultilevel"/>
    <w:tmpl w:val="3CDE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E545B"/>
    <w:multiLevelType w:val="hybridMultilevel"/>
    <w:tmpl w:val="7DE09AA6"/>
    <w:lvl w:ilvl="0" w:tplc="E06E7448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153"/>
    <w:multiLevelType w:val="hybridMultilevel"/>
    <w:tmpl w:val="6372A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B50D8"/>
    <w:multiLevelType w:val="hybridMultilevel"/>
    <w:tmpl w:val="69F44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3E13"/>
    <w:multiLevelType w:val="hybridMultilevel"/>
    <w:tmpl w:val="4492EBEC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E64427"/>
    <w:multiLevelType w:val="hybridMultilevel"/>
    <w:tmpl w:val="92E6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B427F"/>
    <w:multiLevelType w:val="hybridMultilevel"/>
    <w:tmpl w:val="69B60874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2C573EF6"/>
    <w:multiLevelType w:val="hybridMultilevel"/>
    <w:tmpl w:val="416A0F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A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8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E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A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2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E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FD157C"/>
    <w:multiLevelType w:val="hybridMultilevel"/>
    <w:tmpl w:val="168EB43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8B5FC6"/>
    <w:multiLevelType w:val="hybridMultilevel"/>
    <w:tmpl w:val="DA3A9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BA7"/>
    <w:multiLevelType w:val="hybridMultilevel"/>
    <w:tmpl w:val="10AC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4F7C"/>
    <w:multiLevelType w:val="hybridMultilevel"/>
    <w:tmpl w:val="10FC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21717"/>
    <w:multiLevelType w:val="hybridMultilevel"/>
    <w:tmpl w:val="FC14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A09B1"/>
    <w:multiLevelType w:val="hybridMultilevel"/>
    <w:tmpl w:val="F9A4BEF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35E3985"/>
    <w:multiLevelType w:val="hybridMultilevel"/>
    <w:tmpl w:val="E872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D65CF"/>
    <w:multiLevelType w:val="hybridMultilevel"/>
    <w:tmpl w:val="19AC58AE"/>
    <w:lvl w:ilvl="0" w:tplc="6BF64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2D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E2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6F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8A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4B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69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40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0B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F404B"/>
    <w:multiLevelType w:val="hybridMultilevel"/>
    <w:tmpl w:val="64FA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11227"/>
    <w:multiLevelType w:val="hybridMultilevel"/>
    <w:tmpl w:val="4D86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83968"/>
    <w:multiLevelType w:val="hybridMultilevel"/>
    <w:tmpl w:val="FF64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1296E"/>
    <w:multiLevelType w:val="hybridMultilevel"/>
    <w:tmpl w:val="59C8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53D1D"/>
    <w:multiLevelType w:val="hybridMultilevel"/>
    <w:tmpl w:val="A2169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2C4AA9"/>
    <w:multiLevelType w:val="hybridMultilevel"/>
    <w:tmpl w:val="54B4FE76"/>
    <w:lvl w:ilvl="0" w:tplc="78C0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A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8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E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A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2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E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634066"/>
    <w:multiLevelType w:val="hybridMultilevel"/>
    <w:tmpl w:val="8304A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40D6"/>
    <w:multiLevelType w:val="hybridMultilevel"/>
    <w:tmpl w:val="1B504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183719"/>
    <w:multiLevelType w:val="hybridMultilevel"/>
    <w:tmpl w:val="E9DC3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E6F89"/>
    <w:multiLevelType w:val="hybridMultilevel"/>
    <w:tmpl w:val="406A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63E89"/>
    <w:multiLevelType w:val="hybridMultilevel"/>
    <w:tmpl w:val="65944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753F3"/>
    <w:multiLevelType w:val="multilevel"/>
    <w:tmpl w:val="A48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E65CAD"/>
    <w:multiLevelType w:val="hybridMultilevel"/>
    <w:tmpl w:val="6536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52077"/>
    <w:multiLevelType w:val="hybridMultilevel"/>
    <w:tmpl w:val="57F6CA34"/>
    <w:lvl w:ilvl="0" w:tplc="78C0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17918"/>
    <w:multiLevelType w:val="hybridMultilevel"/>
    <w:tmpl w:val="0BB2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65408"/>
    <w:multiLevelType w:val="hybridMultilevel"/>
    <w:tmpl w:val="D81A0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42D5"/>
    <w:multiLevelType w:val="hybridMultilevel"/>
    <w:tmpl w:val="3FDC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942E1"/>
    <w:multiLevelType w:val="hybridMultilevel"/>
    <w:tmpl w:val="2418F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D78F8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56125"/>
    <w:multiLevelType w:val="hybridMultilevel"/>
    <w:tmpl w:val="238AE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29"/>
  </w:num>
  <w:num w:numId="5">
    <w:abstractNumId w:val="8"/>
  </w:num>
  <w:num w:numId="6">
    <w:abstractNumId w:val="26"/>
  </w:num>
  <w:num w:numId="7">
    <w:abstractNumId w:val="30"/>
  </w:num>
  <w:num w:numId="8">
    <w:abstractNumId w:val="12"/>
  </w:num>
  <w:num w:numId="9">
    <w:abstractNumId w:val="2"/>
  </w:num>
  <w:num w:numId="10">
    <w:abstractNumId w:val="23"/>
  </w:num>
  <w:num w:numId="11">
    <w:abstractNumId w:val="3"/>
  </w:num>
  <w:num w:numId="12">
    <w:abstractNumId w:val="17"/>
  </w:num>
  <w:num w:numId="13">
    <w:abstractNumId w:val="24"/>
  </w:num>
  <w:num w:numId="14">
    <w:abstractNumId w:val="33"/>
  </w:num>
  <w:num w:numId="15">
    <w:abstractNumId w:val="16"/>
  </w:num>
  <w:num w:numId="16">
    <w:abstractNumId w:val="6"/>
  </w:num>
  <w:num w:numId="17">
    <w:abstractNumId w:val="11"/>
  </w:num>
  <w:num w:numId="18">
    <w:abstractNumId w:val="22"/>
  </w:num>
  <w:num w:numId="19">
    <w:abstractNumId w:val="39"/>
  </w:num>
  <w:num w:numId="20">
    <w:abstractNumId w:val="0"/>
  </w:num>
  <w:num w:numId="21">
    <w:abstractNumId w:val="34"/>
  </w:num>
  <w:num w:numId="22">
    <w:abstractNumId w:val="20"/>
  </w:num>
  <w:num w:numId="23">
    <w:abstractNumId w:val="25"/>
  </w:num>
  <w:num w:numId="24">
    <w:abstractNumId w:val="18"/>
  </w:num>
  <w:num w:numId="25">
    <w:abstractNumId w:val="40"/>
  </w:num>
  <w:num w:numId="26">
    <w:abstractNumId w:val="9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27"/>
  </w:num>
  <w:num w:numId="32">
    <w:abstractNumId w:val="21"/>
  </w:num>
  <w:num w:numId="33">
    <w:abstractNumId w:val="4"/>
  </w:num>
  <w:num w:numId="34">
    <w:abstractNumId w:val="38"/>
  </w:num>
  <w:num w:numId="35">
    <w:abstractNumId w:val="35"/>
  </w:num>
  <w:num w:numId="36">
    <w:abstractNumId w:val="13"/>
  </w:num>
  <w:num w:numId="37">
    <w:abstractNumId w:val="1"/>
  </w:num>
  <w:num w:numId="38">
    <w:abstractNumId w:val="15"/>
  </w:num>
  <w:num w:numId="39">
    <w:abstractNumId w:val="36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8"/>
    <w:rsid w:val="00001B80"/>
    <w:rsid w:val="00001D18"/>
    <w:rsid w:val="00003E5A"/>
    <w:rsid w:val="00017FEA"/>
    <w:rsid w:val="0002246E"/>
    <w:rsid w:val="0002312B"/>
    <w:rsid w:val="0002777B"/>
    <w:rsid w:val="00040371"/>
    <w:rsid w:val="00046C31"/>
    <w:rsid w:val="0005541D"/>
    <w:rsid w:val="00061510"/>
    <w:rsid w:val="00061DE7"/>
    <w:rsid w:val="00065ED0"/>
    <w:rsid w:val="00067822"/>
    <w:rsid w:val="000722C2"/>
    <w:rsid w:val="00074325"/>
    <w:rsid w:val="00075FF4"/>
    <w:rsid w:val="0008644B"/>
    <w:rsid w:val="000973F1"/>
    <w:rsid w:val="000A6526"/>
    <w:rsid w:val="000A7847"/>
    <w:rsid w:val="000B09B0"/>
    <w:rsid w:val="000B12B4"/>
    <w:rsid w:val="000B3EBD"/>
    <w:rsid w:val="000B429E"/>
    <w:rsid w:val="000B6D51"/>
    <w:rsid w:val="000C00A1"/>
    <w:rsid w:val="000C7AE5"/>
    <w:rsid w:val="000D0463"/>
    <w:rsid w:val="000E4AD4"/>
    <w:rsid w:val="000F3DDD"/>
    <w:rsid w:val="000F7DED"/>
    <w:rsid w:val="00106C12"/>
    <w:rsid w:val="00127220"/>
    <w:rsid w:val="0013314B"/>
    <w:rsid w:val="00140174"/>
    <w:rsid w:val="001522D0"/>
    <w:rsid w:val="001663C7"/>
    <w:rsid w:val="0017298A"/>
    <w:rsid w:val="001764F4"/>
    <w:rsid w:val="00180DB1"/>
    <w:rsid w:val="00195E55"/>
    <w:rsid w:val="001A2BBE"/>
    <w:rsid w:val="001A54AF"/>
    <w:rsid w:val="001B215D"/>
    <w:rsid w:val="001C01B6"/>
    <w:rsid w:val="001E622D"/>
    <w:rsid w:val="001E701C"/>
    <w:rsid w:val="001F0CC0"/>
    <w:rsid w:val="00206D3E"/>
    <w:rsid w:val="002150CF"/>
    <w:rsid w:val="00215453"/>
    <w:rsid w:val="0022442B"/>
    <w:rsid w:val="00227FDF"/>
    <w:rsid w:val="00233A11"/>
    <w:rsid w:val="0024008F"/>
    <w:rsid w:val="00250B54"/>
    <w:rsid w:val="00250C2C"/>
    <w:rsid w:val="00253801"/>
    <w:rsid w:val="00254BE5"/>
    <w:rsid w:val="00257D16"/>
    <w:rsid w:val="002734C8"/>
    <w:rsid w:val="00280C3F"/>
    <w:rsid w:val="00284BEC"/>
    <w:rsid w:val="00287EE8"/>
    <w:rsid w:val="0029439B"/>
    <w:rsid w:val="002C547D"/>
    <w:rsid w:val="002D1DEE"/>
    <w:rsid w:val="002E6600"/>
    <w:rsid w:val="002F085D"/>
    <w:rsid w:val="00300526"/>
    <w:rsid w:val="00301BE5"/>
    <w:rsid w:val="0030718B"/>
    <w:rsid w:val="0031181D"/>
    <w:rsid w:val="00312C1A"/>
    <w:rsid w:val="00340BC1"/>
    <w:rsid w:val="00360FD9"/>
    <w:rsid w:val="00361468"/>
    <w:rsid w:val="0036627C"/>
    <w:rsid w:val="0037185E"/>
    <w:rsid w:val="003719A9"/>
    <w:rsid w:val="003726DC"/>
    <w:rsid w:val="003866C7"/>
    <w:rsid w:val="00390946"/>
    <w:rsid w:val="003943F0"/>
    <w:rsid w:val="003A0667"/>
    <w:rsid w:val="003A2670"/>
    <w:rsid w:val="003A7266"/>
    <w:rsid w:val="003C19B7"/>
    <w:rsid w:val="003D5472"/>
    <w:rsid w:val="003E0461"/>
    <w:rsid w:val="003E188E"/>
    <w:rsid w:val="003F7F13"/>
    <w:rsid w:val="00400506"/>
    <w:rsid w:val="00410DFB"/>
    <w:rsid w:val="004120D2"/>
    <w:rsid w:val="0042060B"/>
    <w:rsid w:val="00430CF7"/>
    <w:rsid w:val="00432041"/>
    <w:rsid w:val="00432122"/>
    <w:rsid w:val="00433352"/>
    <w:rsid w:val="00440E7F"/>
    <w:rsid w:val="004628EB"/>
    <w:rsid w:val="00462FAB"/>
    <w:rsid w:val="0047050F"/>
    <w:rsid w:val="00470D6B"/>
    <w:rsid w:val="00471A5F"/>
    <w:rsid w:val="0047595E"/>
    <w:rsid w:val="0049255B"/>
    <w:rsid w:val="004933B0"/>
    <w:rsid w:val="00494405"/>
    <w:rsid w:val="0049781A"/>
    <w:rsid w:val="004A0262"/>
    <w:rsid w:val="004A075A"/>
    <w:rsid w:val="004A20F7"/>
    <w:rsid w:val="004A3060"/>
    <w:rsid w:val="004B5CFD"/>
    <w:rsid w:val="004C0F0D"/>
    <w:rsid w:val="004C5AF6"/>
    <w:rsid w:val="004D6D6D"/>
    <w:rsid w:val="004E02D1"/>
    <w:rsid w:val="004E4C17"/>
    <w:rsid w:val="004E570E"/>
    <w:rsid w:val="004F210D"/>
    <w:rsid w:val="004F24FA"/>
    <w:rsid w:val="004F57D6"/>
    <w:rsid w:val="004F78A8"/>
    <w:rsid w:val="00501163"/>
    <w:rsid w:val="00502361"/>
    <w:rsid w:val="0052164B"/>
    <w:rsid w:val="00524A58"/>
    <w:rsid w:val="005329A5"/>
    <w:rsid w:val="00534E33"/>
    <w:rsid w:val="005612E4"/>
    <w:rsid w:val="00567409"/>
    <w:rsid w:val="005879B5"/>
    <w:rsid w:val="005B22A2"/>
    <w:rsid w:val="005B44F7"/>
    <w:rsid w:val="005C4204"/>
    <w:rsid w:val="005C7D45"/>
    <w:rsid w:val="005D0B42"/>
    <w:rsid w:val="005D34B4"/>
    <w:rsid w:val="005D3976"/>
    <w:rsid w:val="005E290F"/>
    <w:rsid w:val="005F1376"/>
    <w:rsid w:val="005F2977"/>
    <w:rsid w:val="005F501D"/>
    <w:rsid w:val="00603136"/>
    <w:rsid w:val="00603247"/>
    <w:rsid w:val="006107A4"/>
    <w:rsid w:val="00614F72"/>
    <w:rsid w:val="00614F78"/>
    <w:rsid w:val="00615D66"/>
    <w:rsid w:val="00627992"/>
    <w:rsid w:val="00630134"/>
    <w:rsid w:val="00633B2D"/>
    <w:rsid w:val="00634128"/>
    <w:rsid w:val="006374CF"/>
    <w:rsid w:val="00652068"/>
    <w:rsid w:val="00655425"/>
    <w:rsid w:val="00657ED0"/>
    <w:rsid w:val="00660353"/>
    <w:rsid w:val="00663056"/>
    <w:rsid w:val="006655B2"/>
    <w:rsid w:val="00674F9E"/>
    <w:rsid w:val="00675F2E"/>
    <w:rsid w:val="00683A9B"/>
    <w:rsid w:val="00686284"/>
    <w:rsid w:val="006B1D8A"/>
    <w:rsid w:val="006B31CE"/>
    <w:rsid w:val="006B629E"/>
    <w:rsid w:val="006C07D9"/>
    <w:rsid w:val="006C4F8D"/>
    <w:rsid w:val="006F0928"/>
    <w:rsid w:val="006F2676"/>
    <w:rsid w:val="006F39B8"/>
    <w:rsid w:val="006F5A8C"/>
    <w:rsid w:val="007026EA"/>
    <w:rsid w:val="00723181"/>
    <w:rsid w:val="007233CB"/>
    <w:rsid w:val="00732E79"/>
    <w:rsid w:val="00736BD6"/>
    <w:rsid w:val="0074226B"/>
    <w:rsid w:val="00752635"/>
    <w:rsid w:val="00752BD2"/>
    <w:rsid w:val="00755F90"/>
    <w:rsid w:val="00767C66"/>
    <w:rsid w:val="00777259"/>
    <w:rsid w:val="00781503"/>
    <w:rsid w:val="00782216"/>
    <w:rsid w:val="0078567A"/>
    <w:rsid w:val="007A01DD"/>
    <w:rsid w:val="007A32C7"/>
    <w:rsid w:val="007A3F2B"/>
    <w:rsid w:val="007A412E"/>
    <w:rsid w:val="007A78BF"/>
    <w:rsid w:val="007B10F0"/>
    <w:rsid w:val="007B55BB"/>
    <w:rsid w:val="007C3A76"/>
    <w:rsid w:val="007C6527"/>
    <w:rsid w:val="007D1A17"/>
    <w:rsid w:val="007E0255"/>
    <w:rsid w:val="007E1E98"/>
    <w:rsid w:val="007F37B4"/>
    <w:rsid w:val="00807F6F"/>
    <w:rsid w:val="00814FD5"/>
    <w:rsid w:val="00816E6F"/>
    <w:rsid w:val="00823B01"/>
    <w:rsid w:val="00827DA9"/>
    <w:rsid w:val="008322CD"/>
    <w:rsid w:val="00837F38"/>
    <w:rsid w:val="0084738E"/>
    <w:rsid w:val="008550B0"/>
    <w:rsid w:val="0085715C"/>
    <w:rsid w:val="00860F95"/>
    <w:rsid w:val="00866997"/>
    <w:rsid w:val="00871A70"/>
    <w:rsid w:val="00874915"/>
    <w:rsid w:val="00886F69"/>
    <w:rsid w:val="008962D4"/>
    <w:rsid w:val="008A7E02"/>
    <w:rsid w:val="008B544C"/>
    <w:rsid w:val="008B644F"/>
    <w:rsid w:val="008C4156"/>
    <w:rsid w:val="008D0CAF"/>
    <w:rsid w:val="008E1AF8"/>
    <w:rsid w:val="008E66EA"/>
    <w:rsid w:val="008F482C"/>
    <w:rsid w:val="008F7FD0"/>
    <w:rsid w:val="009008E8"/>
    <w:rsid w:val="00901258"/>
    <w:rsid w:val="0090377C"/>
    <w:rsid w:val="00912400"/>
    <w:rsid w:val="00924217"/>
    <w:rsid w:val="0093089C"/>
    <w:rsid w:val="00944DCF"/>
    <w:rsid w:val="009503D9"/>
    <w:rsid w:val="00951A80"/>
    <w:rsid w:val="00967686"/>
    <w:rsid w:val="00974FFF"/>
    <w:rsid w:val="0099577E"/>
    <w:rsid w:val="009A19C5"/>
    <w:rsid w:val="009A7C52"/>
    <w:rsid w:val="009B089E"/>
    <w:rsid w:val="009B6DEC"/>
    <w:rsid w:val="009C2F73"/>
    <w:rsid w:val="009D1C54"/>
    <w:rsid w:val="009D2A2E"/>
    <w:rsid w:val="009D4022"/>
    <w:rsid w:val="009D7C30"/>
    <w:rsid w:val="009F5964"/>
    <w:rsid w:val="00A031EF"/>
    <w:rsid w:val="00A0350F"/>
    <w:rsid w:val="00A03AD2"/>
    <w:rsid w:val="00A044EA"/>
    <w:rsid w:val="00A05E3A"/>
    <w:rsid w:val="00A07A66"/>
    <w:rsid w:val="00A21C3B"/>
    <w:rsid w:val="00A2219F"/>
    <w:rsid w:val="00A23EA8"/>
    <w:rsid w:val="00A251AE"/>
    <w:rsid w:val="00A4366B"/>
    <w:rsid w:val="00A57D09"/>
    <w:rsid w:val="00A6573E"/>
    <w:rsid w:val="00A86F99"/>
    <w:rsid w:val="00AA0AB9"/>
    <w:rsid w:val="00AA26F2"/>
    <w:rsid w:val="00AC4796"/>
    <w:rsid w:val="00AD35AB"/>
    <w:rsid w:val="00AF1D32"/>
    <w:rsid w:val="00AF28AC"/>
    <w:rsid w:val="00B02A4F"/>
    <w:rsid w:val="00B14717"/>
    <w:rsid w:val="00B2048D"/>
    <w:rsid w:val="00B20A53"/>
    <w:rsid w:val="00B22517"/>
    <w:rsid w:val="00B23048"/>
    <w:rsid w:val="00B278A8"/>
    <w:rsid w:val="00B344E2"/>
    <w:rsid w:val="00B42185"/>
    <w:rsid w:val="00B43700"/>
    <w:rsid w:val="00B541D7"/>
    <w:rsid w:val="00B54F43"/>
    <w:rsid w:val="00B818E3"/>
    <w:rsid w:val="00B83513"/>
    <w:rsid w:val="00B94253"/>
    <w:rsid w:val="00B95A37"/>
    <w:rsid w:val="00B9759B"/>
    <w:rsid w:val="00BB1B70"/>
    <w:rsid w:val="00BB3052"/>
    <w:rsid w:val="00BB3EFC"/>
    <w:rsid w:val="00BB73F7"/>
    <w:rsid w:val="00BC0429"/>
    <w:rsid w:val="00BD525D"/>
    <w:rsid w:val="00C26E0F"/>
    <w:rsid w:val="00C40D6F"/>
    <w:rsid w:val="00C53619"/>
    <w:rsid w:val="00C66536"/>
    <w:rsid w:val="00C70CA0"/>
    <w:rsid w:val="00C76758"/>
    <w:rsid w:val="00C8334D"/>
    <w:rsid w:val="00C911B8"/>
    <w:rsid w:val="00C91FAD"/>
    <w:rsid w:val="00CA48AF"/>
    <w:rsid w:val="00CB18CF"/>
    <w:rsid w:val="00CB22C3"/>
    <w:rsid w:val="00CB3733"/>
    <w:rsid w:val="00CC0976"/>
    <w:rsid w:val="00CC5563"/>
    <w:rsid w:val="00CD163C"/>
    <w:rsid w:val="00CE57E2"/>
    <w:rsid w:val="00CE6B01"/>
    <w:rsid w:val="00CF1425"/>
    <w:rsid w:val="00CF31C5"/>
    <w:rsid w:val="00D01DD1"/>
    <w:rsid w:val="00D02A63"/>
    <w:rsid w:val="00D17EE0"/>
    <w:rsid w:val="00D3194F"/>
    <w:rsid w:val="00D33964"/>
    <w:rsid w:val="00D52408"/>
    <w:rsid w:val="00D70701"/>
    <w:rsid w:val="00D74C6A"/>
    <w:rsid w:val="00D86FB5"/>
    <w:rsid w:val="00DB0602"/>
    <w:rsid w:val="00DB266B"/>
    <w:rsid w:val="00DB2E65"/>
    <w:rsid w:val="00DC2EEE"/>
    <w:rsid w:val="00DD5501"/>
    <w:rsid w:val="00DE2FD7"/>
    <w:rsid w:val="00E00CD2"/>
    <w:rsid w:val="00E070A6"/>
    <w:rsid w:val="00E07C83"/>
    <w:rsid w:val="00E13061"/>
    <w:rsid w:val="00E13254"/>
    <w:rsid w:val="00E154F1"/>
    <w:rsid w:val="00E2277B"/>
    <w:rsid w:val="00E25943"/>
    <w:rsid w:val="00E27AD5"/>
    <w:rsid w:val="00E456F2"/>
    <w:rsid w:val="00E52CD4"/>
    <w:rsid w:val="00E53626"/>
    <w:rsid w:val="00E537C4"/>
    <w:rsid w:val="00E60387"/>
    <w:rsid w:val="00E62EAA"/>
    <w:rsid w:val="00E827DC"/>
    <w:rsid w:val="00E95874"/>
    <w:rsid w:val="00EA27E1"/>
    <w:rsid w:val="00EB2CDC"/>
    <w:rsid w:val="00EC21E8"/>
    <w:rsid w:val="00EE26B7"/>
    <w:rsid w:val="00F119FD"/>
    <w:rsid w:val="00F14D1B"/>
    <w:rsid w:val="00F25B41"/>
    <w:rsid w:val="00F27D1F"/>
    <w:rsid w:val="00F31108"/>
    <w:rsid w:val="00F36C2A"/>
    <w:rsid w:val="00F406A4"/>
    <w:rsid w:val="00F44AC4"/>
    <w:rsid w:val="00F5636D"/>
    <w:rsid w:val="00F65531"/>
    <w:rsid w:val="00F6671A"/>
    <w:rsid w:val="00F85183"/>
    <w:rsid w:val="00F85277"/>
    <w:rsid w:val="00F85A86"/>
    <w:rsid w:val="00F86445"/>
    <w:rsid w:val="00F87AE7"/>
    <w:rsid w:val="00F90E07"/>
    <w:rsid w:val="00F94EA3"/>
    <w:rsid w:val="00F96FC3"/>
    <w:rsid w:val="00FC57AE"/>
    <w:rsid w:val="00FC6AC5"/>
    <w:rsid w:val="00FD0324"/>
    <w:rsid w:val="00FF2CA6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A4C32"/>
  <w15:docId w15:val="{A2BC291D-FEA4-42EF-88D5-53EAC9B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2D4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860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0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9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5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4E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4E2"/>
    <w:rPr>
      <w:rFonts w:ascii="Arial" w:hAnsi="Arial"/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A22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A20661673</value>
    </field>
    <field name="Objective-Title">
      <value order="0">First Minister_s Advisory Group on Human Rights Leadership- Reference Group- draft minutes- 26 March 2018. HRLeadership</value>
    </field>
    <field name="Objective-Description">
      <value order="0"/>
    </field>
    <field name="Objective-CreationStamp">
      <value order="0">2018-04-06T14:42:57Z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2018-04-06T15:03:18Z</value>
    </field>
    <field name="Objective-Owner">
      <value order="0">Bruton, Adam A (U418836)</value>
    </field>
    <field name="Objective-Path">
      <value order="0">Objective Global Folder:SG File Plan:Crime, law, justice and rights:Civil and human rights:General:Committees and groups: Civil and human rights - general:First Minister's Advisory Group on Human Rights Leadership (HRLG): Policy: 2018-2023</value>
    </field>
    <field name="Objective-Parent">
      <value order="0">First Minister's Advisory Group on Human Rights Leadership (HRLG): Policy: 2018-2023</value>
    </field>
    <field name="Objective-State">
      <value order="0">Being Drafted</value>
    </field>
    <field name="Objective-VersionId">
      <value order="0">vA28968983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qA745565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F984D5B6-EB29-427E-85D6-785F994D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Billy</dc:creator>
  <cp:lastModifiedBy>Bruton A (Adam)</cp:lastModifiedBy>
  <cp:revision>2</cp:revision>
  <cp:lastPrinted>2017-11-13T13:28:00Z</cp:lastPrinted>
  <dcterms:created xsi:type="dcterms:W3CDTF">2018-12-17T11:14:00Z</dcterms:created>
  <dcterms:modified xsi:type="dcterms:W3CDTF">2018-12-17T11:14:00Z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A20661673</vt:lpwstr>
  </property>
  <property fmtid="{D5CDD505-2E9C-101B-9397-08002B2CF9AE}" pid="4" name="Objective-Title">
    <vt:lpwstr>First Minister_s Advisory Group on Human Rights Leadership- Reference Group- draft minutes- 26 March 2018. HRLeadership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2018-04-06T15:03:18Z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2018-04-06T15:03:19Z</vt:filetime>
  </property>
  <property fmtid="{D5CDD505-2E9C-101B-9397-08002B2CF9AE}" pid="11" name="Objective-Owner">
    <vt:lpwstr>Bruton, Adam A (U418836)</vt:lpwstr>
  </property>
  <property fmtid="{D5CDD505-2E9C-101B-9397-08002B2CF9AE}" pid="12" name="Objective-Path">
    <vt:lpwstr>Objective Global Folder:SG File Plan:Crime, law, justice and rights:Civil and human rights:General:Committees and groups: Civil and human rights - general:First Minister's Advisory Group on Human Rights Leadership (HRLG): Policy: 2018-2023:</vt:lpwstr>
  </property>
  <property fmtid="{D5CDD505-2E9C-101B-9397-08002B2CF9AE}" pid="13" name="Objective-Parent">
    <vt:lpwstr>First Minister's Advisory Group on Human Rights Leadership (HRLG): Policy: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vA28968983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